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left"/>
        <w:rPr>
          <w:rFonts w:ascii="黑体" w:hAnsi="宋体" w:eastAsia="黑体" w:cs="宋体"/>
          <w:kern w:val="0"/>
          <w:sz w:val="28"/>
          <w:szCs w:val="28"/>
        </w:rPr>
      </w:pPr>
      <w:bookmarkStart w:id="0" w:name="_GoBack"/>
      <w:bookmarkEnd w:id="0"/>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rPr>
          <w:rFonts w:ascii="黑体" w:hAnsi="黑体" w:eastAsia="黑体" w:cs="黑体"/>
          <w:sz w:val="52"/>
          <w:szCs w:val="52"/>
        </w:rPr>
      </w:pPr>
      <w:r>
        <w:rPr>
          <w:rFonts w:hint="eastAsia" w:ascii="黑体" w:hAnsi="黑体" w:eastAsia="黑体" w:cs="黑体"/>
          <w:sz w:val="52"/>
          <w:szCs w:val="52"/>
          <w:lang w:eastAsia="zh-CN"/>
        </w:rPr>
        <w:t>2019</w:t>
      </w:r>
      <w:r>
        <w:rPr>
          <w:rFonts w:hint="eastAsia" w:ascii="黑体" w:hAnsi="黑体" w:eastAsia="黑体" w:cs="黑体"/>
          <w:sz w:val="52"/>
          <w:szCs w:val="52"/>
        </w:rPr>
        <w:t>年度湖滨区审计局部门决算</w:t>
      </w: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sectPr>
          <w:pgSz w:w="11906" w:h="16838"/>
          <w:pgMar w:top="1440" w:right="1531" w:bottom="1440" w:left="1587" w:header="850" w:footer="992" w:gutter="0"/>
          <w:pgNumType w:fmt="numberInDash"/>
          <w:cols w:space="720" w:num="1"/>
          <w:docGrid w:type="lines" w:linePitch="317"/>
        </w:sectPr>
      </w:pPr>
      <w:r>
        <w:rPr>
          <w:rFonts w:hint="eastAsia" w:ascii="黑体" w:hAnsi="黑体" w:eastAsia="黑体" w:cs="黑体"/>
          <w:sz w:val="32"/>
          <w:szCs w:val="32"/>
        </w:rPr>
        <w:t>二〇二〇年</w:t>
      </w:r>
      <w:r>
        <w:rPr>
          <w:rFonts w:hint="eastAsia" w:ascii="黑体" w:hAnsi="黑体" w:eastAsia="黑体" w:cs="黑体"/>
          <w:sz w:val="32"/>
          <w:szCs w:val="32"/>
          <w:lang w:eastAsia="zh-CN"/>
        </w:rPr>
        <w:t>九</w:t>
      </w:r>
      <w:r>
        <w:rPr>
          <w:rFonts w:hint="eastAsia" w:ascii="黑体" w:hAnsi="黑体" w:eastAsia="黑体" w:cs="黑体"/>
          <w:sz w:val="32"/>
          <w:szCs w:val="32"/>
        </w:rPr>
        <w:t>月</w:t>
      </w:r>
    </w:p>
    <w:p>
      <w:pPr>
        <w:jc w:val="center"/>
        <w:rPr>
          <w:rFonts w:ascii="黑体" w:hAnsi="黑体" w:eastAsia="黑体" w:cs="黑体"/>
          <w:sz w:val="36"/>
          <w:szCs w:val="36"/>
        </w:rPr>
      </w:pPr>
      <w:r>
        <w:rPr>
          <w:rFonts w:hint="eastAsia" w:ascii="黑体" w:hAnsi="黑体" w:eastAsia="黑体" w:cs="黑体"/>
          <w:sz w:val="36"/>
          <w:szCs w:val="36"/>
        </w:rPr>
        <w:t>目　　录</w:t>
      </w:r>
    </w:p>
    <w:p>
      <w:pPr>
        <w:jc w:val="left"/>
        <w:rPr>
          <w:rFonts w:ascii="黑体" w:hAnsi="黑体" w:eastAsia="黑体" w:cs="黑体"/>
          <w:sz w:val="32"/>
          <w:szCs w:val="32"/>
        </w:rPr>
      </w:pPr>
      <w:r>
        <w:rPr>
          <w:rFonts w:hint="eastAsia" w:ascii="黑体" w:hAnsi="黑体" w:eastAsia="黑体" w:cs="黑体"/>
          <w:sz w:val="32"/>
          <w:szCs w:val="32"/>
        </w:rPr>
        <w:t>第一部分　湖滨区审计局概况</w:t>
      </w:r>
    </w:p>
    <w:p>
      <w:pPr>
        <w:numPr>
          <w:ilvl w:val="0"/>
          <w:numId w:val="1"/>
        </w:numPr>
        <w:ind w:firstLine="640" w:firstLineChars="200"/>
        <w:jc w:val="left"/>
        <w:rPr>
          <w:rFonts w:ascii="宋体" w:cs="宋体"/>
          <w:sz w:val="32"/>
          <w:szCs w:val="32"/>
        </w:rPr>
      </w:pPr>
      <w:r>
        <w:rPr>
          <w:rFonts w:hint="eastAsia" w:ascii="宋体" w:hAnsi="宋体" w:cs="宋体"/>
          <w:sz w:val="32"/>
          <w:szCs w:val="32"/>
        </w:rPr>
        <w:t>部门职责</w:t>
      </w:r>
    </w:p>
    <w:p>
      <w:pPr>
        <w:numPr>
          <w:ilvl w:val="0"/>
          <w:numId w:val="1"/>
        </w:numPr>
        <w:ind w:firstLine="640" w:firstLineChars="200"/>
        <w:jc w:val="left"/>
        <w:rPr>
          <w:rFonts w:ascii="宋体" w:cs="宋体"/>
          <w:sz w:val="32"/>
          <w:szCs w:val="32"/>
        </w:rPr>
      </w:pPr>
      <w:r>
        <w:rPr>
          <w:rFonts w:hint="eastAsia" w:ascii="宋体" w:hAnsi="宋体" w:cs="宋体"/>
          <w:sz w:val="32"/>
          <w:szCs w:val="32"/>
        </w:rPr>
        <w:t>机构设置</w:t>
      </w:r>
    </w:p>
    <w:p>
      <w:pPr>
        <w:jc w:val="left"/>
        <w:rPr>
          <w:rFonts w:ascii="黑体" w:hAnsi="黑体" w:eastAsia="黑体" w:cs="黑体"/>
          <w:sz w:val="32"/>
          <w:szCs w:val="32"/>
        </w:rPr>
      </w:pPr>
      <w:r>
        <w:rPr>
          <w:rFonts w:hint="eastAsia" w:ascii="黑体" w:hAnsi="黑体" w:eastAsia="黑体" w:cs="黑体"/>
          <w:sz w:val="32"/>
          <w:szCs w:val="32"/>
        </w:rPr>
        <w:t>第二部分　　</w:t>
      </w:r>
      <w:r>
        <w:rPr>
          <w:rFonts w:hint="eastAsia" w:ascii="黑体" w:hAnsi="黑体" w:eastAsia="黑体" w:cs="黑体"/>
          <w:sz w:val="32"/>
          <w:szCs w:val="32"/>
          <w:lang w:eastAsia="zh-CN"/>
        </w:rPr>
        <w:t>2019</w:t>
      </w:r>
      <w:r>
        <w:rPr>
          <w:rFonts w:hint="eastAsia" w:ascii="黑体" w:hAnsi="黑体" w:eastAsia="黑体" w:cs="黑体"/>
          <w:sz w:val="32"/>
          <w:szCs w:val="32"/>
        </w:rPr>
        <w:t>年度部门决算表</w:t>
      </w:r>
    </w:p>
    <w:p>
      <w:pPr>
        <w:ind w:firstLine="640" w:firstLineChars="200"/>
        <w:jc w:val="left"/>
        <w:rPr>
          <w:rFonts w:ascii="宋体" w:cs="宋体"/>
          <w:sz w:val="32"/>
          <w:szCs w:val="32"/>
        </w:rPr>
      </w:pPr>
      <w:r>
        <w:rPr>
          <w:rFonts w:hint="eastAsia" w:ascii="宋体" w:hAnsi="宋体" w:cs="宋体"/>
          <w:sz w:val="32"/>
          <w:szCs w:val="32"/>
        </w:rPr>
        <w:t>一、收入支出决算总表</w:t>
      </w:r>
    </w:p>
    <w:p>
      <w:pPr>
        <w:ind w:firstLine="640" w:firstLineChars="200"/>
        <w:jc w:val="left"/>
        <w:rPr>
          <w:rFonts w:ascii="宋体" w:cs="宋体"/>
          <w:sz w:val="32"/>
          <w:szCs w:val="32"/>
        </w:rPr>
      </w:pPr>
      <w:r>
        <w:rPr>
          <w:rFonts w:hint="eastAsia" w:ascii="宋体" w:hAnsi="宋体" w:cs="宋体"/>
          <w:sz w:val="32"/>
          <w:szCs w:val="32"/>
        </w:rPr>
        <w:t>二、收入决算表</w:t>
      </w:r>
    </w:p>
    <w:p>
      <w:pPr>
        <w:ind w:firstLine="640" w:firstLineChars="200"/>
        <w:jc w:val="left"/>
        <w:rPr>
          <w:rFonts w:ascii="宋体" w:cs="宋体"/>
          <w:sz w:val="32"/>
          <w:szCs w:val="32"/>
        </w:rPr>
      </w:pPr>
      <w:r>
        <w:rPr>
          <w:rFonts w:hint="eastAsia" w:ascii="宋体" w:hAnsi="宋体" w:cs="宋体"/>
          <w:sz w:val="32"/>
          <w:szCs w:val="32"/>
        </w:rPr>
        <w:t>三、支出决算表</w:t>
      </w:r>
    </w:p>
    <w:p>
      <w:pPr>
        <w:ind w:firstLine="640" w:firstLineChars="200"/>
        <w:jc w:val="left"/>
        <w:rPr>
          <w:rFonts w:ascii="宋体" w:cs="宋体"/>
          <w:sz w:val="32"/>
          <w:szCs w:val="32"/>
        </w:rPr>
      </w:pPr>
      <w:r>
        <w:rPr>
          <w:rFonts w:hint="eastAsia" w:ascii="宋体" w:hAnsi="宋体" w:cs="宋体"/>
          <w:sz w:val="32"/>
          <w:szCs w:val="32"/>
        </w:rPr>
        <w:t>四、财政拨款收入支出决算总表</w:t>
      </w:r>
    </w:p>
    <w:p>
      <w:pPr>
        <w:ind w:firstLine="640" w:firstLineChars="200"/>
        <w:jc w:val="left"/>
        <w:rPr>
          <w:rFonts w:ascii="宋体" w:cs="宋体"/>
          <w:sz w:val="32"/>
          <w:szCs w:val="32"/>
        </w:rPr>
      </w:pPr>
      <w:r>
        <w:rPr>
          <w:rFonts w:hint="eastAsia" w:ascii="宋体" w:hAnsi="宋体" w:cs="宋体"/>
          <w:sz w:val="32"/>
          <w:szCs w:val="32"/>
        </w:rPr>
        <w:t>五、一般公共预算财政拨款支出决算表</w:t>
      </w:r>
    </w:p>
    <w:p>
      <w:pPr>
        <w:ind w:firstLine="640" w:firstLineChars="200"/>
        <w:jc w:val="left"/>
        <w:rPr>
          <w:rFonts w:ascii="宋体" w:cs="宋体"/>
          <w:sz w:val="32"/>
          <w:szCs w:val="32"/>
        </w:rPr>
      </w:pPr>
      <w:r>
        <w:rPr>
          <w:rFonts w:hint="eastAsia" w:ascii="宋体" w:hAnsi="宋体" w:cs="宋体"/>
          <w:sz w:val="32"/>
          <w:szCs w:val="32"/>
        </w:rPr>
        <w:t>六、一般公共预算财政拨款基本支出决算表</w:t>
      </w:r>
    </w:p>
    <w:p>
      <w:pPr>
        <w:ind w:firstLine="640" w:firstLineChars="200"/>
        <w:jc w:val="left"/>
        <w:rPr>
          <w:rFonts w:ascii="宋体" w:cs="宋体"/>
          <w:sz w:val="32"/>
          <w:szCs w:val="32"/>
        </w:rPr>
      </w:pPr>
      <w:r>
        <w:rPr>
          <w:rFonts w:hint="eastAsia" w:ascii="宋体" w:hAnsi="宋体" w:cs="宋体"/>
          <w:sz w:val="32"/>
          <w:szCs w:val="32"/>
        </w:rPr>
        <w:t>七、一般公共预算财政拨款“三公”经费支出决算表</w:t>
      </w:r>
    </w:p>
    <w:p>
      <w:pPr>
        <w:ind w:firstLine="640" w:firstLineChars="200"/>
        <w:jc w:val="left"/>
        <w:rPr>
          <w:rFonts w:ascii="宋体" w:cs="宋体"/>
          <w:sz w:val="32"/>
          <w:szCs w:val="32"/>
        </w:rPr>
      </w:pPr>
      <w:r>
        <w:rPr>
          <w:rFonts w:hint="eastAsia" w:ascii="宋体" w:hAnsi="宋体" w:cs="宋体"/>
          <w:sz w:val="32"/>
          <w:szCs w:val="32"/>
        </w:rPr>
        <w:t>八、政府性基金预算财政拨款收入支出决算表</w:t>
      </w:r>
    </w:p>
    <w:p>
      <w:pPr>
        <w:jc w:val="left"/>
        <w:rPr>
          <w:rFonts w:ascii="黑体" w:hAnsi="黑体" w:eastAsia="黑体" w:cs="黑体"/>
          <w:sz w:val="32"/>
          <w:szCs w:val="32"/>
        </w:rPr>
      </w:pPr>
      <w:r>
        <w:rPr>
          <w:rFonts w:hint="eastAsia" w:ascii="黑体" w:hAnsi="黑体" w:eastAsia="黑体" w:cs="黑体"/>
          <w:sz w:val="32"/>
          <w:szCs w:val="32"/>
        </w:rPr>
        <w:t>第三部分　　</w:t>
      </w:r>
      <w:r>
        <w:rPr>
          <w:rFonts w:hint="eastAsia" w:ascii="黑体" w:hAnsi="黑体" w:eastAsia="黑体" w:cs="黑体"/>
          <w:sz w:val="32"/>
          <w:szCs w:val="32"/>
          <w:lang w:eastAsia="zh-CN"/>
        </w:rPr>
        <w:t>2019</w:t>
      </w:r>
      <w:r>
        <w:rPr>
          <w:rFonts w:hint="eastAsia" w:ascii="黑体" w:hAnsi="黑体" w:eastAsia="黑体" w:cs="黑体"/>
          <w:sz w:val="32"/>
          <w:szCs w:val="32"/>
        </w:rPr>
        <w:t>年度部门决算情况说明</w:t>
      </w:r>
    </w:p>
    <w:p>
      <w:pPr>
        <w:ind w:firstLine="640" w:firstLineChars="200"/>
        <w:jc w:val="left"/>
        <w:rPr>
          <w:rFonts w:ascii="宋体" w:cs="宋体"/>
          <w:sz w:val="32"/>
          <w:szCs w:val="32"/>
        </w:rPr>
      </w:pPr>
      <w:r>
        <w:rPr>
          <w:rFonts w:hint="eastAsia" w:ascii="宋体" w:hAnsi="宋体" w:cs="宋体"/>
          <w:sz w:val="32"/>
          <w:szCs w:val="32"/>
        </w:rPr>
        <w:t>一、收入支出决算总体情况说明</w:t>
      </w:r>
    </w:p>
    <w:p>
      <w:pPr>
        <w:ind w:firstLine="640" w:firstLineChars="200"/>
        <w:jc w:val="left"/>
        <w:rPr>
          <w:rFonts w:ascii="宋体" w:cs="宋体"/>
          <w:sz w:val="32"/>
          <w:szCs w:val="32"/>
        </w:rPr>
      </w:pPr>
      <w:r>
        <w:rPr>
          <w:rFonts w:hint="eastAsia" w:ascii="宋体" w:hAnsi="宋体" w:cs="宋体"/>
          <w:sz w:val="32"/>
          <w:szCs w:val="32"/>
        </w:rPr>
        <w:t>二、收入决算情况说明</w:t>
      </w:r>
    </w:p>
    <w:p>
      <w:pPr>
        <w:ind w:firstLine="640" w:firstLineChars="200"/>
        <w:jc w:val="left"/>
        <w:rPr>
          <w:rFonts w:ascii="宋体" w:cs="宋体"/>
          <w:sz w:val="32"/>
          <w:szCs w:val="32"/>
        </w:rPr>
      </w:pPr>
      <w:r>
        <w:rPr>
          <w:rFonts w:hint="eastAsia" w:ascii="宋体" w:hAnsi="宋体" w:cs="宋体"/>
          <w:sz w:val="32"/>
          <w:szCs w:val="32"/>
        </w:rPr>
        <w:t>三、支出决算情况说明</w:t>
      </w:r>
    </w:p>
    <w:p>
      <w:pPr>
        <w:ind w:firstLine="640" w:firstLineChars="200"/>
        <w:jc w:val="left"/>
        <w:rPr>
          <w:rFonts w:asci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asci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asci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ascii="宋体" w:cs="宋体"/>
          <w:sz w:val="32"/>
          <w:szCs w:val="32"/>
        </w:rPr>
      </w:pPr>
      <w:r>
        <w:rPr>
          <w:rFonts w:hint="eastAsia" w:ascii="宋体" w:hAnsi="宋体" w:cs="宋体"/>
          <w:sz w:val="32"/>
          <w:szCs w:val="32"/>
        </w:rPr>
        <w:t>七、一般公共预算财政拨款“三公”经费支出决算情况说明</w:t>
      </w:r>
    </w:p>
    <w:p>
      <w:pPr>
        <w:ind w:firstLine="640" w:firstLineChars="200"/>
        <w:jc w:val="left"/>
        <w:rPr>
          <w:rFonts w:ascii="宋体" w:cs="宋体"/>
          <w:sz w:val="32"/>
          <w:szCs w:val="32"/>
        </w:rPr>
      </w:pPr>
      <w:r>
        <w:rPr>
          <w:rFonts w:hint="eastAsia" w:ascii="宋体" w:hAnsi="宋体" w:cs="宋体"/>
          <w:sz w:val="32"/>
          <w:szCs w:val="32"/>
        </w:rPr>
        <w:t>八、预算绩效情况说明</w:t>
      </w:r>
    </w:p>
    <w:p>
      <w:pPr>
        <w:ind w:firstLine="640" w:firstLineChars="200"/>
        <w:jc w:val="left"/>
        <w:rPr>
          <w:rFonts w:ascii="宋体" w:cs="宋体"/>
          <w:sz w:val="32"/>
          <w:szCs w:val="32"/>
        </w:rPr>
      </w:pPr>
      <w:r>
        <w:rPr>
          <w:rFonts w:hint="eastAsia" w:ascii="宋体" w:hAnsi="宋体" w:cs="宋体"/>
          <w:sz w:val="32"/>
          <w:szCs w:val="32"/>
        </w:rPr>
        <w:t>九、政府性基金预算财政拨款支出决算情况说明</w:t>
      </w:r>
    </w:p>
    <w:p>
      <w:pPr>
        <w:ind w:firstLine="640" w:firstLineChars="200"/>
        <w:jc w:val="left"/>
        <w:rPr>
          <w:rFonts w:ascii="宋体" w:cs="宋体"/>
          <w:sz w:val="32"/>
          <w:szCs w:val="32"/>
        </w:rPr>
      </w:pPr>
      <w:r>
        <w:rPr>
          <w:rFonts w:hint="eastAsia" w:ascii="宋体" w:hAnsi="宋体" w:cs="宋体"/>
          <w:sz w:val="32"/>
          <w:szCs w:val="32"/>
        </w:rPr>
        <w:t>十、机关运行经费支出情况说明</w:t>
      </w:r>
    </w:p>
    <w:p>
      <w:pPr>
        <w:ind w:firstLine="640" w:firstLineChars="200"/>
        <w:jc w:val="left"/>
        <w:rPr>
          <w:rFonts w:ascii="宋体" w:cs="宋体"/>
          <w:sz w:val="32"/>
          <w:szCs w:val="32"/>
        </w:rPr>
      </w:pPr>
      <w:r>
        <w:rPr>
          <w:rFonts w:hint="eastAsia" w:ascii="宋体" w:hAnsi="宋体" w:cs="宋体"/>
          <w:sz w:val="32"/>
          <w:szCs w:val="32"/>
        </w:rPr>
        <w:t>十一、政府采购支出情况说明</w:t>
      </w:r>
    </w:p>
    <w:p>
      <w:pPr>
        <w:ind w:firstLine="640" w:firstLineChars="200"/>
        <w:jc w:val="left"/>
        <w:rPr>
          <w:rFonts w:ascii="宋体" w:cs="宋体"/>
          <w:sz w:val="32"/>
          <w:szCs w:val="32"/>
        </w:rPr>
      </w:pPr>
      <w:r>
        <w:rPr>
          <w:rFonts w:hint="eastAsia" w:ascii="宋体" w:hAnsi="宋体" w:cs="宋体"/>
          <w:sz w:val="32"/>
          <w:szCs w:val="32"/>
        </w:rPr>
        <w:t>十二、国有资产占用情况说明</w:t>
      </w:r>
    </w:p>
    <w:p>
      <w:pPr>
        <w:jc w:val="left"/>
        <w:rPr>
          <w:rFonts w:ascii="黑体" w:hAnsi="黑体" w:eastAsia="黑体" w:cs="黑体"/>
          <w:sz w:val="32"/>
          <w:szCs w:val="32"/>
        </w:rPr>
      </w:pPr>
      <w:r>
        <w:rPr>
          <w:rFonts w:hint="eastAsia" w:ascii="黑体" w:hAnsi="黑体" w:eastAsia="黑体" w:cs="黑体"/>
          <w:sz w:val="32"/>
          <w:szCs w:val="32"/>
        </w:rPr>
        <w:t>第四部分　　名词解释</w:t>
      </w:r>
    </w:p>
    <w:p>
      <w:pPr>
        <w:ind w:firstLine="640" w:firstLineChars="200"/>
        <w:jc w:val="left"/>
        <w:rPr>
          <w:rFonts w:ascii="宋体" w:cs="宋体"/>
          <w:sz w:val="32"/>
          <w:szCs w:val="32"/>
        </w:rPr>
      </w:pPr>
    </w:p>
    <w:p>
      <w:pPr>
        <w:jc w:val="left"/>
        <w:sectPr>
          <w:footerReference r:id="rId4" w:type="default"/>
          <w:footerReference r:id="rId5" w:type="even"/>
          <w:pgSz w:w="11906" w:h="16838"/>
          <w:pgMar w:top="1440" w:right="1531" w:bottom="1440" w:left="1587" w:header="850" w:footer="992" w:gutter="0"/>
          <w:pgNumType w:fmt="numberInDash" w:start="1"/>
          <w:cols w:space="720" w:num="1"/>
          <w:docGrid w:type="lines" w:linePitch="317"/>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center"/>
        <w:outlineLvl w:val="0"/>
        <w:rPr>
          <w:rFonts w:ascii="黑体" w:hAnsi="宋体" w:eastAsia="黑体" w:cs="宋体"/>
          <w:kern w:val="0"/>
          <w:sz w:val="28"/>
          <w:szCs w:val="28"/>
        </w:rPr>
      </w:pPr>
      <w:r>
        <w:rPr>
          <w:rFonts w:hint="eastAsia" w:ascii="黑体" w:hAnsi="黑体" w:eastAsia="黑体" w:cs="黑体"/>
          <w:sz w:val="48"/>
          <w:szCs w:val="48"/>
        </w:rPr>
        <w:t>第一部分</w:t>
      </w:r>
      <w:r>
        <w:rPr>
          <w:rFonts w:ascii="黑体" w:hAnsi="黑体" w:eastAsia="黑体" w:cs="黑体"/>
          <w:sz w:val="48"/>
          <w:szCs w:val="48"/>
        </w:rPr>
        <w:t xml:space="preserve">  </w:t>
      </w:r>
      <w:r>
        <w:rPr>
          <w:rFonts w:hint="eastAsia" w:ascii="黑体" w:hAnsi="黑体" w:eastAsia="黑体" w:cs="黑体"/>
          <w:sz w:val="48"/>
          <w:szCs w:val="48"/>
        </w:rPr>
        <w:t>湖滨区审计局概况</w:t>
      </w:r>
    </w:p>
    <w:p>
      <w:pPr>
        <w:widowControl/>
        <w:jc w:val="left"/>
        <w:rPr>
          <w:rFonts w:ascii="黑体" w:hAnsi="宋体" w:eastAsia="黑体" w:cs="宋体"/>
          <w:kern w:val="0"/>
          <w:sz w:val="28"/>
          <w:szCs w:val="28"/>
        </w:rPr>
      </w:pPr>
    </w:p>
    <w:p>
      <w:pPr>
        <w:widowControl/>
        <w:jc w:val="left"/>
        <w:sectPr>
          <w:pgSz w:w="11906" w:h="16838"/>
          <w:pgMar w:top="1440" w:right="1800" w:bottom="1440" w:left="1800" w:header="720" w:footer="720" w:gutter="0"/>
          <w:pgNumType w:fmt="numberInDash"/>
          <w:cols w:space="720" w:num="1"/>
          <w:docGrid w:type="lines" w:linePitch="312"/>
        </w:sectPr>
      </w:pPr>
    </w:p>
    <w:p>
      <w:pPr>
        <w:widowControl/>
        <w:ind w:firstLine="640" w:firstLineChars="200"/>
        <w:jc w:val="left"/>
        <w:outlineLvl w:val="1"/>
        <w:rPr>
          <w:rFonts w:ascii="黑体" w:hAnsi="黑体" w:eastAsia="黑体" w:cs="黑体"/>
          <w:kern w:val="0"/>
          <w:sz w:val="32"/>
          <w:szCs w:val="32"/>
        </w:rPr>
      </w:pPr>
      <w:r>
        <w:rPr>
          <w:rFonts w:hint="eastAsia" w:ascii="黑体" w:hAnsi="黑体" w:eastAsia="黑体" w:cs="黑体"/>
          <w:kern w:val="0"/>
          <w:sz w:val="32"/>
          <w:szCs w:val="32"/>
        </w:rPr>
        <w:t>一、部门</w:t>
      </w:r>
      <w:r>
        <w:rPr>
          <w:rFonts w:hint="eastAsia" w:ascii="黑体" w:hAnsi="黑体" w:eastAsia="黑体" w:cs="黑体"/>
          <w:bCs/>
          <w:sz w:val="32"/>
          <w:szCs w:val="32"/>
        </w:rPr>
        <w:t>职责</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负责对党中央、国务院及省委、省政府、市委、市政府、区委、区政府有关重大政策措施贯彻落实情况进行跟踪审计，对全区财政收支和法律法规规定属于审计监督范围的财务收支的真实、合法和效益进行审计监督，对公共资金、国有资产、国有资源和领导干部履行经济责任情况实行审计全覆盖，对领导干部实行自然资源资产离任及任中审计。对审计、专项审计调查和核查社会审计机构相关审计报告的结果承担责任，并负有督促被审计单位整改的责任。</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二)参与起草审计、经济社会发展等方面的规章草案，拟订审计制度并监督执行。拟订并组织实施审计工作发展规划和专业领域审计工作规划，拟订并组织实施年度审计计划。对直接审计、调查和核查的事项依法进行审计评价，作出审计决定或提出审计建议。</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三)向中共湖滨区委审计委员会提出年度区级预算执行和其他财政收支情况审计报告、审计查出问题整改情况报告和年度审计项目计划等审计重大事项。向区政府提出年度区级预算执行和其他财政收支的审计结果报告和审计查出问题整改情况报告。受区政府委托向区人大常委会提出区级预算执行和其他财政收支情况的审计工作报告、审计查出问题整改情况报告。向中共湖滨区委审计委员会和区政府报告其他事项的审计和专项审计调查情况及结果。依法向社会公布审计结果。向区委、区政府有关部门，乡(街道)党委、政府通报审计情况和审计结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直接审计下列事项，出具审计报告，在法定职权范围内作出审计决定或向有关主管机关提出有关处理处罚建议：1.党中央、国务院及省委、省政府、市委、市政府、区委、区政府有关重大政策措施贯彻落实情况。</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2.区级预算执行情况和其他财政收支，区委、区政府各部门预算执行情况、决算和其他财政收支。</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3.乡(街道)政府预算执行情况、决算和其他财政收支，区级财政转移支付资金。</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4.使用区级财政资金的事业单位和社会团体的财务收支。</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5.区级投资和以区级投资为主的建设项目的预算执行情况和决算，区级重大公共工程项目的资金管理使用和建设运营情况。</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6.自然资源管理、污染防治和生态保护与修复情况。</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7.区属国有企业和金融机构、区政府规定的区属国有资本占控股或主导地位的企业和金融机构境内外资产、负债和损益。</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8.区政府管理和其他单位受区政府及其部门委托管理的社会保障基金、社会捐赠资金及其他有关基金、资金的财务收支。</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9.法律、行政法规和地方性法规规定应由区级审计机关审计的其他事项。</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(五)按规定对区管领导干部及依法属于湖滨区审计局审计监督对象的其他单位主要负责人实施经济责任审计和自然资源资产离任及任中审计。</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(六)组织实施对财经法律、法规、规章、政策和宏观调控措施执行情况、财政预算管理及国有资产管理使用等与区级财政收支有关的特定事项进行专项审计调查。</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(七)依法检查审计决定执行情况，督促整改审计查出的问题。依法办理被审计单位对审计决定提请行政复议、行政诉讼或区政府裁决的有关事项。协助配合有关部门查处相关重大案件。</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(八)指导和监督内部审计工作，核查社会审计机构对依法属于审计监督对象单位出具的相关审计报告。</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(九)指导全区审计机关推广信息技术在审计领域应用的相关工作。</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color w:val="000000"/>
          <w:sz w:val="32"/>
          <w:szCs w:val="32"/>
        </w:rPr>
        <w:t xml:space="preserve"> (十)完成区委、区政府交办的其他任务。</w:t>
      </w:r>
    </w:p>
    <w:p>
      <w:pPr>
        <w:widowControl/>
        <w:ind w:firstLine="640" w:firstLineChars="200"/>
        <w:jc w:val="left"/>
        <w:outlineLvl w:val="1"/>
        <w:rPr>
          <w:rFonts w:ascii="黑体" w:hAnsi="黑体" w:eastAsia="黑体" w:cs="黑体"/>
          <w:kern w:val="0"/>
          <w:sz w:val="32"/>
          <w:szCs w:val="32"/>
        </w:rPr>
      </w:pPr>
      <w:r>
        <w:rPr>
          <w:rFonts w:hint="eastAsia" w:ascii="黑体" w:hAnsi="黑体" w:eastAsia="黑体" w:cs="黑体"/>
          <w:kern w:val="0"/>
          <w:sz w:val="32"/>
          <w:szCs w:val="32"/>
        </w:rPr>
        <w:t>二、机构设置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湖滨区审计局设5个内设机构，分别为：办公室、行政事业股、财政金融股、法规股、经济责任审计股。</w:t>
      </w:r>
    </w:p>
    <w:p>
      <w:pPr>
        <w:widowControl/>
        <w:ind w:firstLine="640" w:firstLineChars="200"/>
        <w:jc w:val="left"/>
        <w:rPr>
          <w:rFonts w:hint="eastAsia" w:ascii="仿宋_GB2312" w:hAnsi="仿宋_GB2312" w:eastAsia="仿宋_GB2312" w:cs="仿宋_GB2312"/>
          <w:kern w:val="0"/>
          <w:sz w:val="32"/>
          <w:szCs w:val="32"/>
          <w:highlight w:val="yellow"/>
        </w:rPr>
      </w:pPr>
      <w:r>
        <w:rPr>
          <w:rFonts w:hint="eastAsia" w:ascii="仿宋_GB2312" w:hAnsi="仿宋_GB2312" w:eastAsia="仿宋_GB2312" w:cs="仿宋_GB2312"/>
          <w:kern w:val="0"/>
          <w:sz w:val="32"/>
          <w:szCs w:val="32"/>
        </w:rPr>
        <w:t>从决算单位构成看，湖滨区审计局部门决算包括：本级决算。</w:t>
      </w:r>
    </w:p>
    <w:p>
      <w:pPr>
        <w:widowControl/>
        <w:jc w:val="left"/>
        <w:sectPr>
          <w:pgSz w:w="11906" w:h="16838"/>
          <w:pgMar w:top="1440" w:right="1800" w:bottom="1440" w:left="1800" w:header="720" w:footer="720" w:gutter="0"/>
          <w:pgNumType w:fmt="numberInDash"/>
          <w:cols w:space="720" w:num="1"/>
          <w:docGrid w:type="lines" w:linePitch="312"/>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第二部分</w:t>
      </w:r>
      <w:r>
        <w:rPr>
          <w:rFonts w:ascii="黑体" w:hAnsi="黑体" w:eastAsia="黑体" w:cs="黑体"/>
          <w:sz w:val="48"/>
          <w:szCs w:val="48"/>
        </w:rPr>
        <w:t xml:space="preserve">  </w:t>
      </w:r>
      <w:r>
        <w:rPr>
          <w:rFonts w:hint="eastAsia" w:ascii="黑体" w:hAnsi="黑体" w:eastAsia="黑体" w:cs="黑体"/>
          <w:sz w:val="48"/>
          <w:szCs w:val="48"/>
          <w:lang w:eastAsia="zh-CN"/>
        </w:rPr>
        <w:t>2019</w:t>
      </w:r>
      <w:r>
        <w:rPr>
          <w:rFonts w:hint="eastAsia" w:ascii="黑体" w:hAnsi="黑体" w:eastAsia="黑体" w:cs="黑体"/>
          <w:sz w:val="48"/>
          <w:szCs w:val="48"/>
        </w:rPr>
        <w:t>年度部门决算表</w:t>
      </w:r>
    </w:p>
    <w:p>
      <w:pPr>
        <w:widowControl/>
        <w:jc w:val="left"/>
        <w:rPr>
          <w:rFonts w:ascii="黑体" w:hAnsi="宋体" w:eastAsia="黑体" w:cs="宋体"/>
          <w:kern w:val="0"/>
          <w:sz w:val="28"/>
          <w:szCs w:val="28"/>
        </w:rPr>
      </w:pPr>
    </w:p>
    <w:p>
      <w:pPr>
        <w:widowControl/>
        <w:jc w:val="left"/>
        <w:sectPr>
          <w:pgSz w:w="11906" w:h="16838"/>
          <w:pgMar w:top="1440" w:right="1800" w:bottom="1440" w:left="1800" w:header="720" w:footer="720" w:gutter="0"/>
          <w:pgNumType w:fmt="numberInDash"/>
          <w:cols w:space="720" w:num="1"/>
          <w:docGrid w:type="lines" w:linePitch="312"/>
        </w:sectPr>
      </w:pP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28" o:spid="_x0000_s1028" type="#_x0000_t75" style="height:401.15pt;width:697.2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29" o:spid="_x0000_s1029" type="#_x0000_t75" style="height:406.15pt;width:697.9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0" o:spid="_x0000_s1030" type="#_x0000_t75" style="height:406.9pt;width:697.8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1" o:spid="_x0000_s1031" type="#_x0000_t75" style="height:413.95pt;width:697.3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2" o:spid="_x0000_s1032" type="#_x0000_t75" style="height:415.05pt;width:694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3" o:spid="_x0000_s1033" type="#_x0000_t75" style="height:409.35pt;width:697.75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4" o:spid="_x0000_s1034" type="#_x0000_t75" style="height:232.3pt;width:697.7pt;rotation:0f;" o:ole="f"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5" o:spid="_x0000_s1035" type="#_x0000_t75" style="height:253pt;width:697.45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p>
    <w:p>
      <w:pPr>
        <w:jc w:val="both"/>
        <w:sectPr>
          <w:pgSz w:w="16838" w:h="11906" w:orient="landscape"/>
          <w:pgMar w:top="1800" w:right="1440" w:bottom="1800" w:left="1440" w:header="720" w:footer="720" w:gutter="0"/>
          <w:pgNumType w:fmt="numberInDash"/>
          <w:cols w:space="720" w:num="1"/>
          <w:docGrid w:type="lines" w:linePitch="312"/>
        </w:sectPr>
      </w:pPr>
      <w:r>
        <w:rPr>
          <w:rFonts w:hint="eastAsia" w:ascii="仿宋_GB2312" w:hAnsi="仿宋_GB2312" w:eastAsia="仿宋_GB2312" w:cs="仿宋_GB2312"/>
          <w:sz w:val="32"/>
          <w:szCs w:val="32"/>
        </w:rPr>
        <w:t>说明：我部门没有政府性基金收入，也没有使用政府性基金安排的支出，故本表无数据。</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第三部分</w:t>
      </w:r>
      <w:r>
        <w:rPr>
          <w:rFonts w:ascii="黑体" w:hAnsi="黑体" w:eastAsia="黑体" w:cs="黑体"/>
          <w:sz w:val="48"/>
          <w:szCs w:val="48"/>
        </w:rPr>
        <w:t xml:space="preserve">  </w:t>
      </w:r>
      <w:r>
        <w:rPr>
          <w:rFonts w:hint="eastAsia" w:ascii="黑体" w:hAnsi="黑体" w:eastAsia="黑体" w:cs="黑体"/>
          <w:sz w:val="48"/>
          <w:szCs w:val="48"/>
          <w:lang w:eastAsia="zh-CN"/>
        </w:rPr>
        <w:t>2019</w:t>
      </w:r>
      <w:r>
        <w:rPr>
          <w:rFonts w:hint="eastAsia" w:ascii="黑体" w:hAnsi="黑体" w:eastAsia="黑体" w:cs="黑体"/>
          <w:sz w:val="48"/>
          <w:szCs w:val="48"/>
        </w:rPr>
        <w:t>年度部门决算情况说明</w:t>
      </w:r>
    </w:p>
    <w:p>
      <w:pPr>
        <w:widowControl/>
        <w:jc w:val="left"/>
        <w:sectPr>
          <w:pgSz w:w="11906" w:h="16838"/>
          <w:pgMar w:top="1440" w:right="1800" w:bottom="1440" w:left="1800" w:header="720" w:footer="720" w:gutter="0"/>
          <w:pgNumType w:fmt="numberInDash"/>
          <w:cols w:space="720" w:num="1"/>
          <w:docGrid w:type="lines" w:linePitch="312"/>
        </w:sectPr>
      </w:pP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rPr>
          <w:rFonts w:ascii="黑体" w:hAnsi="黑体" w:eastAsia="黑体" w:cs="黑体"/>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年度收、支总计均为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万元。与上年度相比，收、支总计各增加</w:t>
      </w:r>
      <w:r>
        <w:rPr>
          <w:rFonts w:hint="eastAsia" w:ascii="仿宋_GB2312" w:hAnsi="仿宋_GB2312" w:eastAsia="仿宋_GB2312" w:cs="仿宋_GB2312"/>
          <w:sz w:val="32"/>
          <w:szCs w:val="32"/>
          <w:lang w:val="en-US" w:eastAsia="zh-CN"/>
        </w:rPr>
        <w:t>46.36</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w:t>
      </w:r>
      <w:r>
        <w:rPr>
          <w:rFonts w:hint="eastAsia" w:ascii="仿宋" w:hAnsi="仿宋" w:eastAsia="仿宋" w:cs="仿宋"/>
          <w:sz w:val="32"/>
          <w:szCs w:val="32"/>
          <w:lang w:eastAsia="zh-CN"/>
        </w:rPr>
        <w:t>人员工资及审计业务增加</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rPr>
          <w:rFonts w:ascii="黑体" w:hAnsi="黑体" w:eastAsia="黑体" w:cs="黑体"/>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widowControl/>
        <w:spacing w:line="590"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四、财政拨款收入支出决算总体情况说明</w:t>
      </w:r>
    </w:p>
    <w:p>
      <w:pPr>
        <w:widowControl/>
        <w:spacing w:line="590" w:lineRule="exact"/>
        <w:ind w:firstLine="640" w:firstLineChars="200"/>
        <w:rPr>
          <w:rFonts w:ascii="黑体" w:hAnsi="黑体" w:eastAsia="黑体" w:cs="黑体"/>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年度财政拨款收、支总计均为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万元。与上年度相比，财政拨款收、支总计各增加</w:t>
      </w:r>
      <w:r>
        <w:rPr>
          <w:rFonts w:hint="eastAsia" w:ascii="仿宋_GB2312" w:hAnsi="仿宋_GB2312" w:eastAsia="仿宋_GB2312" w:cs="仿宋_GB2312"/>
          <w:sz w:val="32"/>
          <w:szCs w:val="32"/>
          <w:lang w:val="en-US" w:eastAsia="zh-CN"/>
        </w:rPr>
        <w:t>46.35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w:t>
      </w:r>
      <w:r>
        <w:rPr>
          <w:rFonts w:hint="eastAsia" w:ascii="仿宋" w:hAnsi="仿宋" w:eastAsia="仿宋" w:cs="仿宋"/>
          <w:sz w:val="32"/>
          <w:szCs w:val="32"/>
          <w:lang w:eastAsia="zh-CN"/>
        </w:rPr>
        <w:t>人员工资及审计业务增加</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万元，占本年支出合计的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。与上年度相比，一般公共预算财政拨款支出增加</w:t>
      </w:r>
      <w:r>
        <w:rPr>
          <w:rFonts w:hint="eastAsia" w:ascii="仿宋_GB2312" w:hAnsi="仿宋_GB2312" w:eastAsia="仿宋_GB2312" w:cs="仿宋_GB2312"/>
          <w:sz w:val="32"/>
          <w:szCs w:val="32"/>
          <w:lang w:val="en-US" w:eastAsia="zh-CN"/>
        </w:rPr>
        <w:t>46.35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w:t>
      </w:r>
      <w:r>
        <w:rPr>
          <w:rFonts w:hint="eastAsia" w:ascii="仿宋" w:hAnsi="仿宋" w:eastAsia="仿宋" w:cs="仿宋"/>
          <w:sz w:val="32"/>
          <w:szCs w:val="32"/>
          <w:lang w:eastAsia="zh-CN"/>
        </w:rPr>
        <w:t>人员工资及审计业务增加</w:t>
      </w:r>
      <w:r>
        <w:rPr>
          <w:rFonts w:hint="eastAsia" w:ascii="仿宋_GB2312" w:hAnsi="仿宋_GB2312" w:eastAsia="仿宋_GB2312" w:cs="仿宋_GB2312"/>
          <w:sz w:val="32"/>
          <w:szCs w:val="32"/>
        </w:rPr>
        <w:t>。</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年度一般公共预算财政拨款支出合计</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万元，主要用于以下方面：一般公共服务（类）支出</w:t>
      </w:r>
      <w:r>
        <w:rPr>
          <w:rFonts w:hint="eastAsia" w:ascii="仿宋_GB2312" w:hAnsi="仿宋_GB2312" w:eastAsia="仿宋_GB2312" w:cs="仿宋_GB2312"/>
          <w:sz w:val="32"/>
          <w:szCs w:val="32"/>
          <w:lang w:val="en-US" w:eastAsia="zh-CN"/>
        </w:rPr>
        <w:t>240.42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29.68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10.13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卫生健康（类）支出</w:t>
      </w:r>
      <w:r>
        <w:rPr>
          <w:rFonts w:hint="eastAsia" w:ascii="仿宋_GB2312" w:hAnsi="仿宋_GB2312" w:eastAsia="仿宋_GB2312" w:cs="仿宋_GB2312"/>
          <w:sz w:val="32"/>
          <w:szCs w:val="32"/>
          <w:lang w:val="en-US" w:eastAsia="zh-CN"/>
        </w:rPr>
        <w:t>11.41万元，占3.9%；住房保障（类）支出11.41万元，占3.9%</w:t>
      </w:r>
      <w:r>
        <w:rPr>
          <w:rFonts w:hint="eastAsia" w:ascii="仿宋_GB2312" w:hAnsi="仿宋_GB2312" w:eastAsia="仿宋_GB2312" w:cs="仿宋_GB2312"/>
          <w:sz w:val="32"/>
          <w:szCs w:val="32"/>
        </w:rPr>
        <w:t>。</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pPr>
        <w:widowControl/>
        <w:spacing w:line="59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年度一般公共预算财政拨款支出年初预算为</w:t>
      </w:r>
      <w:r>
        <w:rPr>
          <w:rFonts w:hint="eastAsia" w:ascii="仿宋_GB2312" w:hAnsi="仿宋_GB2312" w:eastAsia="仿宋_GB2312" w:cs="仿宋_GB2312"/>
          <w:sz w:val="32"/>
          <w:szCs w:val="32"/>
          <w:lang w:val="en-US" w:eastAsia="zh-CN"/>
        </w:rPr>
        <w:t>177.69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164.85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其中：</w:t>
      </w:r>
    </w:p>
    <w:p>
      <w:pPr>
        <w:widowControl/>
        <w:wordWrap/>
        <w:adjustRightInd/>
        <w:snapToGrid/>
        <w:spacing w:line="590" w:lineRule="exact"/>
        <w:ind w:left="0" w:leftChars="0" w:right="0" w:firstLine="643" w:firstLineChars="200"/>
        <w:jc w:val="both"/>
        <w:textAlignment w:val="auto"/>
        <w:outlineLvl w:val="9"/>
        <w:rPr>
          <w:rFonts w:ascii="仿宋_GB2312" w:hAnsi="仿宋_GB2312" w:eastAsia="仿宋_GB2312" w:cs="仿宋_GB2312"/>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．一般公共服务支出（类）审计事务（款）行政运行（项）。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78.91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191.5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242.68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．一般公共服务支出（类）审计事务（款）一般行政管理事务（项）。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25.14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25.14</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．一般公共服务支出（类）审计事务（款）审计业务（项）。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20.78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20.78</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．一般公共服务支出（类）商贸事务（款）招商引资（项）。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．社会保障和就业支出（类）行政事业单位离退休（款）归口管理的行政单位离退休（项）。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2.95</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．社会保障和就业支出（类）行政事业单位离退休（款）机关事业单位基本养老保险缴费支出（项）。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19.01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19.01</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．社会保障和就业支出（类）行政事业单位离退休（款）机关事业单位职业年金缴费支出（项）。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7.72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7.72</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卫生健康</w:t>
      </w:r>
      <w:r>
        <w:rPr>
          <w:rFonts w:hint="eastAsia" w:ascii="仿宋_GB2312" w:hAnsi="仿宋_GB2312" w:eastAsia="仿宋_GB2312" w:cs="仿宋_GB2312"/>
          <w:b/>
          <w:bCs/>
          <w:sz w:val="32"/>
          <w:szCs w:val="32"/>
        </w:rPr>
        <w:t>支出（类）行政事业单位医疗（款）行政单位医疗（项）。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11.41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11.41</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．住房保障支出（类）住房改革支出（款）住房公积金（项）。</w:t>
      </w:r>
      <w:r>
        <w:rPr>
          <w:rFonts w:hint="eastAsia" w:ascii="仿宋_GB2312" w:hAnsi="仿宋_GB2312" w:eastAsia="仿宋_GB2312" w:cs="仿宋_GB2312"/>
          <w:sz w:val="32"/>
          <w:szCs w:val="32"/>
        </w:rPr>
        <w:t>年初预算为</w:t>
      </w:r>
      <w:r>
        <w:rPr>
          <w:rFonts w:ascii="仿宋_GB2312" w:hAnsi="仿宋_GB2312" w:eastAsia="仿宋_GB2312" w:cs="仿宋_GB2312"/>
          <w:sz w:val="32"/>
          <w:szCs w:val="32"/>
        </w:rPr>
        <w:t>11.4</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11.41</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年度一般公共预算财政拨款基本支出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242.87</w:t>
      </w:r>
      <w:r>
        <w:rPr>
          <w:rFonts w:hint="eastAsia" w:ascii="仿宋_GB2312" w:hAnsi="仿宋_GB2312" w:eastAsia="仿宋_GB2312" w:cs="仿宋_GB2312"/>
          <w:sz w:val="32"/>
          <w:szCs w:val="32"/>
        </w:rPr>
        <w:t>万元，主要包括：基本工资、津贴补贴、机关事业单位基本养老保险缴费、医疗费、奖励金、住房公积金、其他对个人和家庭的补助支出；公用经费</w:t>
      </w:r>
      <w:r>
        <w:rPr>
          <w:rFonts w:hint="eastAsia" w:ascii="仿宋_GB2312" w:hAnsi="仿宋_GB2312" w:eastAsia="仿宋_GB2312" w:cs="仿宋_GB2312"/>
          <w:sz w:val="32"/>
          <w:szCs w:val="32"/>
          <w:lang w:val="en-US" w:eastAsia="zh-CN"/>
        </w:rPr>
        <w:t>50.05</w:t>
      </w:r>
      <w:r>
        <w:rPr>
          <w:rFonts w:hint="eastAsia" w:ascii="仿宋_GB2312" w:hAnsi="仿宋_GB2312" w:eastAsia="仿宋_GB2312" w:cs="仿宋_GB2312"/>
          <w:sz w:val="32"/>
          <w:szCs w:val="32"/>
        </w:rPr>
        <w:t>万元，主要包括：办公费、印刷费、咨询费、水费、电费、邮电费、维修（护）费、工会经费、福利费、公务用车运行维护费。</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七、一般公共预算财政拨款“三公”经费支出决算情况说明</w:t>
      </w:r>
    </w:p>
    <w:p>
      <w:pPr>
        <w:widowControl/>
        <w:spacing w:line="590" w:lineRule="exact"/>
        <w:ind w:firstLine="643" w:firstLineChars="200"/>
        <w:outlineLvl w:val="2"/>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（一）“三公”经费财政拨款支出决算总体情况说明。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年度“三公”经费财政拨款支出预算为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42.3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年度“三公”经费支出决算数与预算数存在差异的主要原因是</w:t>
      </w:r>
      <w:r>
        <w:rPr>
          <w:rFonts w:hint="eastAsia" w:ascii="仿宋_GB2312" w:hAnsi="宋体" w:eastAsia="仿宋_GB2312" w:cs="Courier New"/>
          <w:color w:val="000000"/>
          <w:sz w:val="32"/>
          <w:szCs w:val="32"/>
          <w:lang w:eastAsia="zh-CN"/>
        </w:rPr>
        <w:t>厉行节约，进一步从严控制“三公”经费开支</w:t>
      </w:r>
      <w:r>
        <w:rPr>
          <w:rFonts w:hint="eastAsia" w:ascii="仿宋_GB2312" w:hAnsi="仿宋_GB2312" w:eastAsia="仿宋_GB2312" w:cs="仿宋_GB2312"/>
          <w:sz w:val="32"/>
          <w:szCs w:val="32"/>
        </w:rPr>
        <w:t>。</w:t>
      </w:r>
    </w:p>
    <w:p>
      <w:pPr>
        <w:widowControl/>
        <w:spacing w:line="590" w:lineRule="exact"/>
        <w:ind w:firstLine="643" w:firstLineChars="200"/>
        <w:outlineLvl w:val="2"/>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（二）“三公”经费财政拨款支出决算具体情况说明。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年度“三公”经费财政拨款支出决算中，因公出国（境）费支出决算0万元，公务用车购置及运行费支出决算</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63.5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1．因公出国（境）费</w:t>
      </w:r>
      <w:r>
        <w:rPr>
          <w:rFonts w:hint="eastAsia" w:ascii="仿宋_GB2312" w:hAnsi="仿宋_GB2312" w:eastAsia="仿宋_GB2312" w:cs="仿宋_GB2312"/>
          <w:color w:val="auto"/>
          <w:sz w:val="32"/>
          <w:szCs w:val="32"/>
          <w:highlight w:val="none"/>
          <w:lang w:val="en-US" w:eastAsia="zh-CN"/>
        </w:rPr>
        <w:t>年初预算为0万元，支出决算为0万元。</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．公务用车购置及运行费</w:t>
      </w:r>
      <w:r>
        <w:rPr>
          <w:rFonts w:hint="eastAsia" w:ascii="仿宋_GB2312" w:hAnsi="仿宋_GB2312" w:eastAsia="仿宋_GB2312" w:cs="仿宋_GB2312"/>
          <w:sz w:val="32"/>
          <w:szCs w:val="32"/>
        </w:rPr>
        <w:t>初预算为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63.5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公务用车运行支出</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万元。主要用于公务用车日常加油、维护等。</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年期末，部门开支财政拨款的公务用车保有量为</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公务接待费</w:t>
      </w:r>
      <w:r>
        <w:rPr>
          <w:rFonts w:hint="eastAsia" w:ascii="仿宋_GB2312" w:hAnsi="仿宋_GB2312" w:eastAsia="仿宋_GB2312" w:cs="仿宋_GB2312"/>
          <w:b/>
          <w:bCs/>
          <w:sz w:val="32"/>
          <w:szCs w:val="32"/>
          <w:lang w:val="en-US" w:eastAsia="zh-CN"/>
        </w:rPr>
        <w:t>年</w:t>
      </w:r>
      <w:r>
        <w:rPr>
          <w:rFonts w:hint="eastAsia" w:ascii="仿宋_GB2312" w:hAnsi="仿宋_GB2312" w:eastAsia="仿宋_GB2312" w:cs="仿宋_GB2312"/>
          <w:color w:val="auto"/>
          <w:sz w:val="32"/>
          <w:szCs w:val="32"/>
          <w:highlight w:val="none"/>
          <w:lang w:val="en-US" w:eastAsia="zh-CN"/>
        </w:rPr>
        <w:t>初预算为1万元，支出决算为0万元。</w:t>
      </w:r>
    </w:p>
    <w:p>
      <w:pPr>
        <w:widowControl/>
        <w:spacing w:line="590" w:lineRule="exact"/>
        <w:ind w:firstLine="640" w:firstLineChars="200"/>
        <w:rPr>
          <w:rFonts w:ascii="仿宋_GB2312" w:hAnsi="仿宋_GB2312" w:eastAsia="仿宋_GB2312" w:cs="仿宋_GB2312"/>
          <w:sz w:val="32"/>
          <w:szCs w:val="32"/>
        </w:rPr>
      </w:pP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八、预算绩效情况说明</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（一）绩效管理工作开展情况。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 xml:space="preserve">年一般性项目无涉及重大项目资金，无预算绩效项目。 </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（二）项目绩效自评结果。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无预算绩效项目。</w:t>
      </w:r>
    </w:p>
    <w:p>
      <w:pPr>
        <w:widowControl/>
        <w:wordWrap/>
        <w:adjustRightInd/>
        <w:snapToGrid/>
        <w:spacing w:line="590" w:lineRule="exact"/>
        <w:ind w:left="0" w:leftChars="0" w:right="0" w:firstLine="640" w:firstLineChars="200"/>
        <w:jc w:val="both"/>
        <w:textAlignment w:val="auto"/>
        <w:outlineLvl w:val="2"/>
        <w:rPr>
          <w:rFonts w:hint="eastAsia" w:ascii="楷体_GB2312" w:hAnsi="楷体_GB2312" w:eastAsia="楷体_GB2312" w:cs="楷体_GB2312"/>
          <w:b w:val="0"/>
          <w:bCs w:val="0"/>
          <w:color w:val="auto"/>
          <w:sz w:val="32"/>
          <w:szCs w:val="32"/>
          <w:highlight w:val="none"/>
          <w:lang w:val="en-US" w:eastAsia="zh-CN"/>
        </w:rPr>
      </w:pPr>
      <w:r>
        <w:rPr>
          <w:rFonts w:hint="eastAsia" w:ascii="楷体_GB2312" w:hAnsi="楷体_GB2312" w:eastAsia="楷体_GB2312" w:cs="楷体_GB2312"/>
          <w:b w:val="0"/>
          <w:bCs w:val="0"/>
          <w:color w:val="auto"/>
          <w:sz w:val="32"/>
          <w:szCs w:val="32"/>
          <w:highlight w:val="none"/>
          <w:lang w:val="en-US" w:eastAsia="zh-CN"/>
        </w:rPr>
        <w:t>（三）以部门为主体开展的重点绩效评价结果。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重点绩效评价</w:t>
      </w:r>
      <w:r>
        <w:rPr>
          <w:rFonts w:hint="eastAsia" w:ascii="仿宋_GB2312" w:hAnsi="仿宋_GB2312" w:eastAsia="仿宋_GB2312" w:cs="仿宋_GB2312"/>
          <w:sz w:val="32"/>
          <w:szCs w:val="32"/>
        </w:rPr>
        <w:t>项目。</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九、政府性基金预算财政拨款支出决算情况说明</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年度没有政府性基金收入，也没有使用政府性基金安排的支出。</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十、机关运行经费支出情况说明</w:t>
      </w:r>
    </w:p>
    <w:p>
      <w:pPr>
        <w:widowControl/>
        <w:spacing w:line="59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年度机关运行经费初预算为</w:t>
      </w:r>
      <w:r>
        <w:rPr>
          <w:rFonts w:hint="eastAsia" w:ascii="仿宋_GB2312" w:hAnsi="仿宋_GB2312" w:eastAsia="仿宋_GB2312" w:cs="仿宋_GB2312"/>
          <w:sz w:val="32"/>
          <w:szCs w:val="32"/>
          <w:lang w:val="en-US" w:eastAsia="zh-CN"/>
        </w:rPr>
        <w:t>16.66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50.05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300.42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。决算数与年初预算数存在差异的主要原因是</w:t>
      </w:r>
      <w:r>
        <w:rPr>
          <w:rFonts w:hint="eastAsia" w:ascii="仿宋_GB2312" w:hAnsi="仿宋_GB2312" w:eastAsia="仿宋_GB2312" w:cs="仿宋_GB2312"/>
          <w:sz w:val="32"/>
          <w:szCs w:val="32"/>
          <w:lang w:eastAsia="zh-CN"/>
        </w:rPr>
        <w:t>审计业务增加。</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十一、政府采购支出情况说明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年度政府采购支出总额</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十二、国有资产占用情况说明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年期末，我部门共有车辆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辆，其中：主要领导干部用车</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辆；单位价值</w:t>
      </w:r>
      <w:r>
        <w:rPr>
          <w:rFonts w:ascii="仿宋_GB2312" w:hAnsi="仿宋_GB2312" w:eastAsia="仿宋_GB2312" w:cs="仿宋_GB2312"/>
          <w:sz w:val="32"/>
          <w:szCs w:val="32"/>
        </w:rPr>
        <w:t>50</w:t>
      </w:r>
      <w:r>
        <w:rPr>
          <w:rFonts w:hint="eastAsia" w:ascii="仿宋_GB2312" w:hAnsi="仿宋_GB2312" w:eastAsia="仿宋_GB2312" w:cs="仿宋_GB2312"/>
          <w:sz w:val="32"/>
          <w:szCs w:val="32"/>
        </w:rPr>
        <w:t>万元以上通用设备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台（套），单位价值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widowControl/>
        <w:spacing w:line="590" w:lineRule="exact"/>
        <w:ind w:firstLine="640" w:firstLineChars="200"/>
        <w:sectPr>
          <w:pgSz w:w="11906" w:h="16838"/>
          <w:pgMar w:top="1440" w:right="1800" w:bottom="1440" w:left="1800" w:header="720" w:footer="720" w:gutter="0"/>
          <w:pgNumType w:fmt="numberInDash"/>
          <w:cols w:space="720" w:num="1"/>
          <w:docGrid w:type="lines" w:linePitch="312"/>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第四部分</w:t>
      </w:r>
      <w:r>
        <w:rPr>
          <w:rFonts w:ascii="黑体" w:hAnsi="黑体" w:eastAsia="黑体" w:cs="黑体"/>
          <w:sz w:val="48"/>
          <w:szCs w:val="48"/>
        </w:rPr>
        <w:t xml:space="preserve">  </w:t>
      </w:r>
      <w:r>
        <w:rPr>
          <w:rFonts w:hint="eastAsia" w:ascii="黑体" w:hAnsi="黑体" w:eastAsia="黑体" w:cs="黑体"/>
          <w:sz w:val="48"/>
          <w:szCs w:val="48"/>
        </w:rPr>
        <w:t>名词解释</w:t>
      </w:r>
    </w:p>
    <w:p>
      <w:pPr>
        <w:jc w:val="center"/>
        <w:rPr>
          <w:rFonts w:ascii="黑体" w:hAnsi="黑体" w:eastAsia="黑体" w:cs="黑体"/>
          <w:sz w:val="48"/>
          <w:szCs w:val="48"/>
        </w:rPr>
      </w:pPr>
    </w:p>
    <w:p>
      <w:pPr>
        <w:jc w:val="center"/>
        <w:outlineLvl w:val="0"/>
        <w:sectPr>
          <w:pgSz w:w="11906" w:h="16838"/>
          <w:pgMar w:top="1440" w:right="1531" w:bottom="1440" w:left="1587" w:header="850" w:footer="992" w:gutter="0"/>
          <w:pgNumType w:fmt="numberInDash"/>
          <w:cols w:space="720" w:num="1"/>
          <w:docGrid w:type="lines" w:linePitch="317"/>
        </w:sectPr>
      </w:pP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八、基本支出：为保障机构正常运转、完成日常工作任务而发生的人员支出和公用支出。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九、项目支出：基本支出之外为完成特定行政任务和事业发展目标所发生的支出。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十五、年末结转：本年度或以前年度预算安排，已执行但尚未完成或因客观条件发生变化无法按原计划实施，需延迟到以后年度按有关规定继续使用的资金。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十六、年末结余：本年度或以前年度预算安排，已执行完毕或因客观条件发生变化无法按原预算安排实施，不需要再使用或无法按原预算安排继续使用的资金</w:t>
      </w:r>
    </w:p>
    <w:sectPr>
      <w:pgSz w:w="11906" w:h="16838"/>
      <w:pgMar w:top="1928" w:right="1474" w:bottom="1701" w:left="1588"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cs="Times New Roman"/>
        <w:kern w:val="2"/>
        <w:sz w:val="18"/>
        <w:szCs w:val="22"/>
        <w:lang w:val="en-US" w:eastAsia="zh-CN" w:bidi="ar-SA"/>
      </w:rPr>
      <w:pict>
        <v:rect id="文本框 2054" o:spid="_x0000_s1027" style="position:absolute;left:0;margin-top:0pt;height:144pt;width:144pt;mso-position-horizontal:center;mso-position-horizontal-relative:margin;mso-wrap-style:none;rotation:0f;z-index:25166028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fldChar w:fldCharType="begin"/>
                </w:r>
                <w:r>
                  <w:instrText xml:space="preserve"> PAGE  \* MERGEFORMAT </w:instrText>
                </w:r>
                <w:r>
                  <w:fldChar w:fldCharType="separate"/>
                </w:r>
                <w:r>
                  <w:rPr>
                    <w:sz w:val="18"/>
                  </w:rPr>
                  <w:t>- 23 -</w:t>
                </w:r>
                <w:r>
                  <w:rPr>
                    <w:sz w:val="18"/>
                  </w:rPr>
                  <w:fldChar w:fldCharType="end"/>
                </w:r>
              </w:p>
            </w:txbxContent>
          </v:textbox>
        </v:rect>
      </w:pict>
    </w:r>
    <w:r>
      <w:rPr>
        <w:rFonts w:ascii="Calibri" w:hAnsi="Calibri" w:eastAsia="宋体" w:cs="Times New Roman"/>
        <w:kern w:val="2"/>
        <w:sz w:val="18"/>
        <w:szCs w:val="22"/>
        <w:lang w:val="en-US" w:eastAsia="zh-CN" w:bidi="ar-SA"/>
      </w:rPr>
      <w:pict>
        <v:rect id="文本框 1027"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cs="Times New Roman"/>
        <w:kern w:val="2"/>
        <w:sz w:val="18"/>
        <w:szCs w:val="22"/>
        <w:lang w:val="en-US" w:eastAsia="zh-CN" w:bidi="ar-SA"/>
      </w:rPr>
      <w:pict>
        <v:rect id="文本框 2055" o:spid="_x0000_s1026" style="position:absolute;left:0;margin-top:0pt;height:144pt;width:144pt;mso-position-horizontal:center;mso-position-horizontal-relative:margin;mso-wrap-style:non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fldChar w:fldCharType="begin"/>
                </w:r>
                <w:r>
                  <w:instrText xml:space="preserve"> PAGE  \* MERGEFORMAT </w:instrText>
                </w:r>
                <w:r>
                  <w:fldChar w:fldCharType="separate"/>
                </w:r>
                <w:r>
                  <w:rPr>
                    <w:sz w:val="18"/>
                  </w:rPr>
                  <w:t>- 22 -</w:t>
                </w:r>
                <w:r>
                  <w:rPr>
                    <w:sz w:val="18"/>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8">
    <w:nsid w:val="00000008"/>
    <w:multiLevelType w:val="singleLevel"/>
    <w:tmpl w:val="00000008"/>
    <w:lvl w:ilvl="0" w:tentative="1">
      <w:start w:val="1"/>
      <w:numFmt w:val="chineseCounting"/>
      <w:suff w:val="nothing"/>
      <w:lvlText w:val="%1、"/>
      <w:lvlJc w:val="left"/>
      <w:rPr>
        <w:rFonts w:cs="Times New Roman"/>
      </w:rPr>
    </w:lvl>
  </w:abstractNum>
  <w:num w:numId="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pPr>
      <w:keepNext/>
      <w:keepLines/>
      <w:spacing w:before="340" w:after="330" w:line="578" w:lineRule="auto"/>
      <w:outlineLvl w:val="0"/>
    </w:pPr>
    <w:rPr>
      <w:b/>
      <w:bCs/>
      <w:kern w:val="44"/>
      <w:sz w:val="44"/>
      <w:szCs w:val="44"/>
    </w:rPr>
  </w:style>
  <w:style w:type="character" w:default="1" w:styleId="6">
    <w:name w:val="Default Paragraph Font"/>
  </w:style>
  <w:style w:type="paragraph" w:styleId="3">
    <w:name w:val="annotation text"/>
    <w:basedOn w:val="1"/>
    <w:link w:val="13"/>
    <w:pPr>
      <w:jc w:val="left"/>
    </w:pPr>
  </w:style>
  <w:style w:type="paragraph" w:styleId="4">
    <w:name w:val="footer"/>
    <w:basedOn w:val="1"/>
    <w:link w:val="15"/>
    <w:pPr>
      <w:tabs>
        <w:tab w:val="center" w:pos="4153"/>
        <w:tab w:val="right" w:pos="8306"/>
      </w:tabs>
      <w:snapToGrid w:val="0"/>
      <w:jc w:val="left"/>
    </w:pPr>
    <w:rPr>
      <w:kern w:val="2"/>
      <w:sz w:val="18"/>
    </w:rPr>
  </w:style>
  <w:style w:type="paragraph" w:styleId="5">
    <w:name w:val="header"/>
    <w:basedOn w:val="1"/>
    <w:link w:val="16"/>
    <w:pPr>
      <w:pBdr>
        <w:bottom w:val="single" w:color="auto" w:sz="6" w:space="1"/>
      </w:pBdr>
      <w:tabs>
        <w:tab w:val="center" w:pos="4153"/>
        <w:tab w:val="right" w:pos="8306"/>
      </w:tabs>
      <w:snapToGrid w:val="0"/>
      <w:jc w:val="center"/>
    </w:pPr>
    <w:rPr>
      <w:kern w:val="2"/>
      <w:sz w:val="18"/>
    </w:rPr>
  </w:style>
  <w:style w:type="character" w:styleId="7">
    <w:name w:val="FollowedHyperlink"/>
    <w:basedOn w:val="6"/>
    <w:rPr>
      <w:rFonts w:cs="Times New Roman"/>
      <w:color w:val="800080"/>
      <w:u w:val="single"/>
    </w:rPr>
  </w:style>
  <w:style w:type="character" w:styleId="8">
    <w:name w:val="Hyperlink"/>
    <w:basedOn w:val="6"/>
    <w:rPr>
      <w:rFonts w:cs="Times New Roman"/>
      <w:color w:val="0000FF"/>
      <w:u w:val="single"/>
    </w:rPr>
  </w:style>
  <w:style w:type="paragraph" w:customStyle="1" w:styleId="9">
    <w:name w:val="批注框文本 Char Char"/>
    <w:basedOn w:val="1"/>
    <w:link w:val="14"/>
    <w:rPr>
      <w:rFonts w:cs="Times New Roman"/>
      <w:kern w:val="2"/>
      <w:sz w:val="18"/>
      <w:szCs w:val="18"/>
    </w:rPr>
  </w:style>
  <w:style w:type="paragraph" w:customStyle="1" w:styleId="10">
    <w:name w:val="标题1"/>
    <w:basedOn w:val="2"/>
    <w:pPr>
      <w:spacing w:before="0" w:after="0" w:line="240" w:lineRule="auto"/>
      <w:jc w:val="center"/>
    </w:pPr>
    <w:rPr>
      <w:rFonts w:ascii="华文中宋" w:hAnsi="华文中宋" w:eastAsia="华文中宋"/>
      <w:sz w:val="36"/>
      <w:szCs w:val="36"/>
    </w:rPr>
  </w:style>
  <w:style w:type="paragraph" w:customStyle="1" w:styleId="11">
    <w:name w:val="Revision1"/>
    <w:rPr>
      <w:rFonts w:ascii="Calibri" w:hAnsi="Calibri" w:eastAsia="宋体" w:cs="Times New Roman"/>
      <w:kern w:val="2"/>
      <w:sz w:val="21"/>
      <w:szCs w:val="22"/>
      <w:lang w:val="en-US" w:eastAsia="zh-CN" w:bidi="ar-SA"/>
    </w:rPr>
  </w:style>
  <w:style w:type="character" w:customStyle="1" w:styleId="12">
    <w:name w:val="Heading 1 Char"/>
    <w:basedOn w:val="6"/>
    <w:link w:val="2"/>
    <w:semiHidden/>
    <w:rPr>
      <w:b/>
      <w:bCs/>
      <w:kern w:val="44"/>
      <w:sz w:val="44"/>
      <w:szCs w:val="44"/>
    </w:rPr>
  </w:style>
  <w:style w:type="character" w:customStyle="1" w:styleId="13">
    <w:name w:val="Comment Text Char"/>
    <w:basedOn w:val="6"/>
    <w:link w:val="3"/>
    <w:semiHidden/>
    <w:rPr/>
  </w:style>
  <w:style w:type="character" w:customStyle="1" w:styleId="14">
    <w:name w:val="Balloon Text Char"/>
    <w:basedOn w:val="6"/>
    <w:link w:val="9"/>
    <w:semiHidden/>
    <w:rPr>
      <w:rFonts w:cs="Times New Roman"/>
      <w:kern w:val="2"/>
      <w:sz w:val="18"/>
      <w:szCs w:val="18"/>
    </w:rPr>
  </w:style>
  <w:style w:type="character" w:customStyle="1" w:styleId="15">
    <w:name w:val="Footer Char"/>
    <w:basedOn w:val="6"/>
    <w:link w:val="4"/>
    <w:semiHidden/>
    <w:rPr>
      <w:kern w:val="2"/>
      <w:sz w:val="18"/>
    </w:rPr>
  </w:style>
  <w:style w:type="character" w:customStyle="1" w:styleId="16">
    <w:name w:val="Header Char"/>
    <w:basedOn w:val="6"/>
    <w:link w:val="5"/>
    <w:semiHidden/>
    <w:rPr>
      <w:kern w:val="2"/>
      <w:sz w:val="18"/>
    </w:rPr>
  </w:style>
  <w:style w:type="character" w:customStyle="1" w:styleId="17">
    <w:name w:val="font21"/>
    <w:basedOn w:val="6"/>
    <w:rPr>
      <w:rFonts w:ascii="宋体" w:hAnsi="宋体" w:eastAsia="宋体" w:cs="宋体"/>
      <w:color w:val="000000"/>
      <w:sz w:val="22"/>
      <w:szCs w:val="22"/>
      <w:u w:val="none"/>
    </w:rPr>
  </w:style>
  <w:style w:type="character" w:customStyle="1" w:styleId="18">
    <w:name w:val="font51"/>
    <w:basedOn w:val="6"/>
    <w:rPr>
      <w:rFonts w:ascii="宋体" w:hAnsi="宋体" w:eastAsia="宋体" w:cs="宋体"/>
      <w:color w:val="000000"/>
      <w:sz w:val="24"/>
      <w:szCs w:val="24"/>
      <w:u w:val="none"/>
    </w:rPr>
  </w:style>
  <w:style w:type="character" w:customStyle="1" w:styleId="19">
    <w:name w:val="font01"/>
    <w:basedOn w:val="6"/>
    <w:rPr>
      <w:rFonts w:ascii="宋体" w:hAnsi="宋体" w:eastAsia="宋体" w:cs="宋体"/>
      <w:color w:val="000000"/>
      <w:sz w:val="22"/>
      <w:szCs w:val="22"/>
      <w:u w:val="none"/>
    </w:rPr>
  </w:style>
  <w:style w:type="character" w:customStyle="1" w:styleId="20">
    <w:name w:val="font41"/>
    <w:basedOn w:val="6"/>
    <w:rPr>
      <w:rFonts w:ascii="宋体" w:hAnsi="宋体" w:eastAsia="宋体" w:cs="宋体"/>
      <w:color w:val="000000"/>
      <w:sz w:val="24"/>
      <w:szCs w:val="24"/>
      <w:u w:val="none"/>
    </w:rPr>
  </w:style>
  <w:style w:type="character" w:customStyle="1" w:styleId="21">
    <w:name w:val="font11"/>
    <w:basedOn w:val="6"/>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customXml" Target="../customXml/item1.xml"/><Relationship Id="rId16"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MS User</Company>
  <Pages>26</Pages>
  <Words>1896</Words>
  <Characters>10812</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2019-09-26T01:16:00Z</dcterms:created>
  <dc:creator>管理者</dc:creator>
  <cp:lastPrinted>2019-09-26T01:15:00Z</cp:lastPrinted>
  <dcterms:modified xsi:type="dcterms:W3CDTF">2021-06-09T12:12:05Z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y fmtid="{D5CDD505-2E9C-101B-9397-08002B2CF9AE}" pid="3" name="ICV">
    <vt:lpwstr>7AE6F94F2BFC4F22B16CCD59B95BD616</vt:lpwstr>
  </property>
</Properties>
</file>